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F6" w:rsidRPr="00E3443C" w:rsidRDefault="005C6C8A" w:rsidP="008C33F6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20202"/>
          <w:sz w:val="20"/>
          <w:szCs w:val="20"/>
        </w:rPr>
        <w:t>PROXY LETTER</w:t>
      </w:r>
    </w:p>
    <w:p w:rsidR="005C6C8A" w:rsidRPr="005C6C8A" w:rsidRDefault="005C6C8A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>TO ATTEND THE ANNUAL GENERAL MEETING OF SHAREHOLDERS</w:t>
      </w:r>
    </w:p>
    <w:p w:rsidR="005D1868" w:rsidRPr="00E3443C" w:rsidRDefault="008C33F6" w:rsidP="005C6C8A">
      <w:pPr>
        <w:widowControl w:val="0"/>
        <w:autoSpaceDE w:val="0"/>
        <w:autoSpaceDN w:val="0"/>
        <w:adjustRightInd w:val="0"/>
        <w:spacing w:after="0" w:line="240" w:lineRule="auto"/>
        <w:ind w:right="12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PT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ADARO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ENERGY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b/>
          <w:color w:val="020202"/>
          <w:sz w:val="20"/>
          <w:szCs w:val="20"/>
        </w:rPr>
        <w:t>TBK</w:t>
      </w:r>
    </w:p>
    <w:p w:rsidR="008C33F6" w:rsidRPr="00E3443C" w:rsidRDefault="008C33F6" w:rsidP="008C33F6">
      <w:pPr>
        <w:spacing w:after="0" w:line="240" w:lineRule="auto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:rsidR="008C33F6" w:rsidRPr="00E3443C" w:rsidRDefault="005C6C8A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 xml:space="preserve">The undersigned </w:t>
      </w:r>
      <w:proofErr w:type="gramStart"/>
      <w:r>
        <w:rPr>
          <w:rFonts w:ascii="Arial" w:eastAsia="Times New Roman" w:hAnsi="Arial" w:cs="Arial"/>
          <w:color w:val="020202"/>
          <w:sz w:val="20"/>
          <w:szCs w:val="20"/>
        </w:rPr>
        <w:t>below</w:t>
      </w:r>
      <w:r w:rsidR="001548B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  <w:proofErr w:type="gramEnd"/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0"/>
        <w:gridCol w:w="6930"/>
      </w:tblGrid>
      <w:tr w:rsidR="00D13220" w:rsidRPr="00E3443C" w:rsidTr="00D13220">
        <w:tc>
          <w:tcPr>
            <w:tcW w:w="1980" w:type="dxa"/>
          </w:tcPr>
          <w:p w:rsidR="00D13220" w:rsidRPr="00E3443C" w:rsidRDefault="005C6C8A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Name</w:t>
            </w:r>
            <w:r w:rsidR="0067003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Company</w:t>
            </w:r>
          </w:p>
        </w:tc>
        <w:tc>
          <w:tcPr>
            <w:tcW w:w="450" w:type="dxa"/>
          </w:tcPr>
          <w:p w:rsidR="00D13220" w:rsidRPr="00E3443C" w:rsidRDefault="00D13220" w:rsidP="00D13220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D13220" w:rsidRPr="0067003A" w:rsidRDefault="0067003A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D13220" w:rsidRPr="00E3443C" w:rsidTr="00D13220">
        <w:tc>
          <w:tcPr>
            <w:tcW w:w="1980" w:type="dxa"/>
          </w:tcPr>
          <w:p w:rsidR="00D13220" w:rsidRPr="00E3443C" w:rsidRDefault="00D13220" w:rsidP="005C6C8A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 w:rsidR="005C6C8A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</w:t>
            </w:r>
          </w:p>
        </w:tc>
        <w:tc>
          <w:tcPr>
            <w:tcW w:w="450" w:type="dxa"/>
          </w:tcPr>
          <w:p w:rsidR="00D13220" w:rsidRPr="00E3443C" w:rsidRDefault="00D13220" w:rsidP="00D13220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D13220" w:rsidRPr="0067003A" w:rsidRDefault="0067003A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D13220" w:rsidRPr="00E3443C" w:rsidTr="00D13220">
        <w:tc>
          <w:tcPr>
            <w:tcW w:w="1980" w:type="dxa"/>
          </w:tcPr>
          <w:p w:rsidR="00D13220" w:rsidRPr="00E3443C" w:rsidRDefault="005C6C8A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 Number</w:t>
            </w:r>
          </w:p>
        </w:tc>
        <w:tc>
          <w:tcPr>
            <w:tcW w:w="450" w:type="dxa"/>
          </w:tcPr>
          <w:p w:rsidR="00D13220" w:rsidRPr="00E3443C" w:rsidRDefault="00D13220" w:rsidP="00D13220">
            <w:pPr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6930" w:type="dxa"/>
          </w:tcPr>
          <w:p w:rsidR="00D13220" w:rsidRPr="0067003A" w:rsidRDefault="0067003A" w:rsidP="00D13220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5C6C8A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As the holder of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shares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with valid voting rights in PT Adaro Energy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(“</w:t>
      </w:r>
      <w:r>
        <w:rPr>
          <w:rFonts w:ascii="Arial" w:eastAsia="Times New Roman" w:hAnsi="Arial" w:cs="Arial"/>
          <w:b/>
          <w:color w:val="020202"/>
          <w:sz w:val="20"/>
          <w:szCs w:val="20"/>
        </w:rPr>
        <w:t>the Compan</w:t>
      </w:r>
      <w:r w:rsidRPr="0042319C">
        <w:rPr>
          <w:rFonts w:ascii="Arial" w:eastAsia="Times New Roman" w:hAnsi="Arial" w:cs="Arial"/>
          <w:b/>
          <w:color w:val="020202"/>
          <w:sz w:val="20"/>
          <w:szCs w:val="20"/>
        </w:rPr>
        <w:t>y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r w:rsidRPr="005C6C8A">
        <w:rPr>
          <w:rFonts w:ascii="Arial" w:eastAsia="Times New Roman" w:hAnsi="Arial" w:cs="Arial"/>
          <w:color w:val="020202"/>
          <w:sz w:val="20"/>
          <w:szCs w:val="20"/>
        </w:rPr>
        <w:t>hereinaf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ter shall be referred to as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the </w:t>
      </w:r>
      <w:r w:rsidRPr="005C6C8A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Pr="005C6C8A">
        <w:rPr>
          <w:rFonts w:ascii="Arial" w:eastAsia="Times New Roman" w:hAnsi="Arial" w:cs="Arial"/>
          <w:b/>
          <w:color w:val="020202"/>
          <w:sz w:val="20"/>
          <w:szCs w:val="20"/>
        </w:rPr>
        <w:t>Principal</w:t>
      </w:r>
      <w:r w:rsidRPr="005C6C8A">
        <w:rPr>
          <w:rFonts w:ascii="Arial" w:eastAsia="Times New Roman" w:hAnsi="Arial" w:cs="Arial"/>
          <w:color w:val="020202"/>
          <w:sz w:val="20"/>
          <w:szCs w:val="20"/>
        </w:rPr>
        <w:t>”</w:t>
      </w:r>
      <w:r w:rsidR="001548BC">
        <w:rPr>
          <w:rFonts w:ascii="Arial" w:eastAsia="Times New Roman" w:hAnsi="Arial" w:cs="Arial"/>
          <w:color w:val="020202"/>
          <w:sz w:val="20"/>
          <w:szCs w:val="20"/>
        </w:rPr>
        <w:t>.</w:t>
      </w:r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D13220" w:rsidRPr="00E3443C" w:rsidRDefault="001548BC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H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 xml:space="preserve">ereby grant power of attorney </w:t>
      </w:r>
      <w:proofErr w:type="gramStart"/>
      <w:r w:rsidRPr="001548BC">
        <w:rPr>
          <w:rFonts w:ascii="Arial" w:eastAsia="Times New Roman" w:hAnsi="Arial" w:cs="Arial"/>
          <w:color w:val="020202"/>
          <w:sz w:val="20"/>
          <w:szCs w:val="20"/>
        </w:rPr>
        <w:t>to</w:t>
      </w:r>
      <w:r w:rsidR="00D279BC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  <w:proofErr w:type="gramEnd"/>
    </w:p>
    <w:p w:rsidR="00D13220" w:rsidRPr="00E3443C" w:rsidRDefault="00D13220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0"/>
        <w:gridCol w:w="7020"/>
      </w:tblGrid>
      <w:tr w:rsidR="008C33F6" w:rsidRPr="00E3443C" w:rsidTr="0092037B">
        <w:tc>
          <w:tcPr>
            <w:tcW w:w="1980" w:type="dxa"/>
          </w:tcPr>
          <w:p w:rsidR="008C33F6" w:rsidRPr="00E3443C" w:rsidRDefault="008C33F6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</w:t>
            </w:r>
            <w:r w:rsidR="001548B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e</w:t>
            </w:r>
          </w:p>
        </w:tc>
        <w:tc>
          <w:tcPr>
            <w:tcW w:w="450" w:type="dxa"/>
          </w:tcPr>
          <w:p w:rsidR="008C33F6" w:rsidRPr="00E3443C" w:rsidRDefault="008C33F6" w:rsidP="008C3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8C33F6" w:rsidRPr="00E3443C" w:rsidRDefault="0067003A" w:rsidP="008C33F6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8C33F6" w:rsidRPr="00E3443C" w:rsidTr="0092037B">
        <w:tc>
          <w:tcPr>
            <w:tcW w:w="1980" w:type="dxa"/>
          </w:tcPr>
          <w:p w:rsidR="008C33F6" w:rsidRPr="00E3443C" w:rsidRDefault="008C33F6" w:rsidP="001548BC">
            <w:pPr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</w:t>
            </w:r>
            <w:r w:rsidR="001548B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ddress</w:t>
            </w:r>
          </w:p>
        </w:tc>
        <w:tc>
          <w:tcPr>
            <w:tcW w:w="450" w:type="dxa"/>
          </w:tcPr>
          <w:p w:rsidR="008C33F6" w:rsidRPr="00E3443C" w:rsidRDefault="008C33F6" w:rsidP="008C3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8C33F6" w:rsidRPr="00E3443C" w:rsidRDefault="0067003A" w:rsidP="00D13220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  <w:tr w:rsidR="008C33F6" w:rsidRPr="00E3443C" w:rsidTr="0092037B">
        <w:tc>
          <w:tcPr>
            <w:tcW w:w="1980" w:type="dxa"/>
          </w:tcPr>
          <w:p w:rsidR="008C33F6" w:rsidRPr="00E3443C" w:rsidRDefault="001548BC" w:rsidP="001548B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ID </w:t>
            </w:r>
            <w:r w:rsidR="008C33F6" w:rsidRPr="00E3443C"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umber</w:t>
            </w:r>
          </w:p>
        </w:tc>
        <w:tc>
          <w:tcPr>
            <w:tcW w:w="450" w:type="dxa"/>
          </w:tcPr>
          <w:p w:rsidR="008C33F6" w:rsidRPr="00E3443C" w:rsidRDefault="008C33F6" w:rsidP="008C33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:rsidR="008C33F6" w:rsidRPr="00E3443C" w:rsidRDefault="0067003A" w:rsidP="008C33F6">
            <w:pPr>
              <w:widowControl w:val="0"/>
              <w:autoSpaceDE w:val="0"/>
              <w:autoSpaceDN w:val="0"/>
              <w:adjustRightInd w:val="0"/>
              <w:spacing w:line="245" w:lineRule="exact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1548BC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gramStart"/>
      <w:r w:rsidRPr="001548BC">
        <w:rPr>
          <w:rFonts w:ascii="Arial" w:eastAsia="Times New Roman" w:hAnsi="Arial" w:cs="Arial"/>
          <w:color w:val="020202"/>
          <w:sz w:val="20"/>
          <w:szCs w:val="20"/>
        </w:rPr>
        <w:t>hereinaf</w:t>
      </w:r>
      <w:r>
        <w:rPr>
          <w:rFonts w:ascii="Arial" w:eastAsia="Times New Roman" w:hAnsi="Arial" w:cs="Arial"/>
          <w:color w:val="020202"/>
          <w:sz w:val="20"/>
          <w:szCs w:val="20"/>
        </w:rPr>
        <w:t>ter</w:t>
      </w:r>
      <w:proofErr w:type="gramEnd"/>
      <w:r>
        <w:rPr>
          <w:rFonts w:ascii="Arial" w:eastAsia="Times New Roman" w:hAnsi="Arial" w:cs="Arial"/>
          <w:color w:val="020202"/>
          <w:sz w:val="20"/>
          <w:szCs w:val="20"/>
        </w:rPr>
        <w:t xml:space="preserve"> shall be referred to as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 xml:space="preserve"> the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“</w:t>
      </w:r>
      <w:r w:rsidRPr="001548BC">
        <w:rPr>
          <w:rFonts w:ascii="Arial" w:eastAsia="Times New Roman" w:hAnsi="Arial" w:cs="Arial"/>
          <w:b/>
          <w:color w:val="020202"/>
          <w:sz w:val="20"/>
          <w:szCs w:val="20"/>
        </w:rPr>
        <w:t>Attorney</w:t>
      </w:r>
      <w:r w:rsidRPr="001548BC">
        <w:rPr>
          <w:rFonts w:ascii="Arial" w:eastAsia="Times New Roman" w:hAnsi="Arial" w:cs="Arial"/>
          <w:color w:val="020202"/>
          <w:sz w:val="20"/>
          <w:szCs w:val="20"/>
        </w:rPr>
        <w:t>”</w:t>
      </w:r>
    </w:p>
    <w:p w:rsidR="008C33F6" w:rsidRPr="00E3443C" w:rsidRDefault="008C33F6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8C33F6" w:rsidP="0092037B">
      <w:pPr>
        <w:spacing w:after="0" w:line="240" w:lineRule="auto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---------------------------------------------------------</w:t>
      </w:r>
      <w:r w:rsidR="001548BC">
        <w:rPr>
          <w:rFonts w:ascii="Arial" w:eastAsia="Times New Roman" w:hAnsi="Arial" w:cs="Arial"/>
          <w:b/>
          <w:color w:val="020202"/>
          <w:sz w:val="20"/>
          <w:szCs w:val="20"/>
        </w:rPr>
        <w:t>SPECIFICALLY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</w:p>
    <w:p w:rsidR="004671BF" w:rsidRPr="004671BF" w:rsidRDefault="004671BF" w:rsidP="008C33F6">
      <w:pPr>
        <w:spacing w:after="0" w:line="240" w:lineRule="auto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:rsidR="008C33F6" w:rsidRPr="00E3443C" w:rsidRDefault="00423EB9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>to represent and on behalf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 of </w:t>
      </w:r>
      <w:r w:rsidR="0042319C">
        <w:rPr>
          <w:rFonts w:ascii="Arial" w:eastAsia="Times New Roman" w:hAnsi="Arial" w:cs="Arial"/>
          <w:color w:val="020202"/>
          <w:sz w:val="20"/>
          <w:szCs w:val="20"/>
        </w:rPr>
        <w:t>t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 xml:space="preserve">he Principal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to attend and </w:t>
      </w:r>
      <w:r w:rsidRPr="00423EB9">
        <w:rPr>
          <w:rFonts w:ascii="Arial" w:eastAsia="Times New Roman" w:hAnsi="Arial" w:cs="Arial"/>
          <w:color w:val="020202"/>
          <w:sz w:val="20"/>
          <w:szCs w:val="20"/>
        </w:rPr>
        <w:t>to cast a vote according to the number of shares which are stated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above on the Company’s Annual General Meeting of Shareholders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Pr="00423EB9">
        <w:rPr>
          <w:rFonts w:ascii="Arial" w:eastAsia="Times New Roman" w:hAnsi="Arial" w:cs="Arial"/>
          <w:b/>
          <w:color w:val="171717"/>
          <w:sz w:val="20"/>
          <w:szCs w:val="20"/>
        </w:rPr>
        <w:t xml:space="preserve">the </w:t>
      </w:r>
      <w:r w:rsidRPr="00423EB9">
        <w:rPr>
          <w:rFonts w:ascii="Arial" w:eastAsia="Times New Roman" w:hAnsi="Arial" w:cs="Arial"/>
          <w:b/>
          <w:color w:val="020202"/>
          <w:sz w:val="20"/>
          <w:szCs w:val="20"/>
        </w:rPr>
        <w:t>M</w:t>
      </w:r>
      <w:r>
        <w:rPr>
          <w:rFonts w:ascii="Arial" w:eastAsia="Times New Roman" w:hAnsi="Arial" w:cs="Arial"/>
          <w:b/>
          <w:color w:val="020202"/>
          <w:sz w:val="20"/>
          <w:szCs w:val="20"/>
        </w:rPr>
        <w:t>eeting</w:t>
      </w:r>
      <w:r w:rsidR="008C33F6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8C33F6" w:rsidRPr="00E3443C">
        <w:rPr>
          <w:rFonts w:ascii="Arial" w:eastAsia="Times New Roman" w:hAnsi="Arial" w:cs="Arial"/>
          <w:color w:val="020202"/>
          <w:spacing w:val="21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>which will be held on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:rsidR="0092037B" w:rsidRPr="00E3443C" w:rsidRDefault="0092037B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9"/>
        <w:gridCol w:w="424"/>
        <w:gridCol w:w="6492"/>
      </w:tblGrid>
      <w:tr w:rsidR="00F2333F" w:rsidRPr="00E3443C" w:rsidTr="00B33027">
        <w:tc>
          <w:tcPr>
            <w:tcW w:w="2219" w:type="dxa"/>
          </w:tcPr>
          <w:p w:rsidR="00F2333F" w:rsidRPr="00E3443C" w:rsidRDefault="00423EB9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Date</w:t>
            </w:r>
          </w:p>
        </w:tc>
        <w:tc>
          <w:tcPr>
            <w:tcW w:w="424" w:type="dxa"/>
          </w:tcPr>
          <w:p w:rsidR="00F2333F" w:rsidRPr="00E3443C" w:rsidRDefault="00F2333F" w:rsidP="002977B8">
            <w:pPr>
              <w:jc w:val="center"/>
              <w:rPr>
                <w:sz w:val="20"/>
                <w:szCs w:val="20"/>
              </w:rPr>
            </w:pPr>
            <w:r w:rsidRPr="00E3443C">
              <w:rPr>
                <w:sz w:val="20"/>
                <w:szCs w:val="20"/>
              </w:rPr>
              <w:t>:</w:t>
            </w:r>
          </w:p>
        </w:tc>
        <w:tc>
          <w:tcPr>
            <w:tcW w:w="6492" w:type="dxa"/>
          </w:tcPr>
          <w:p w:rsidR="00F2333F" w:rsidRPr="00E3443C" w:rsidRDefault="005554CB" w:rsidP="00423EB9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Monday</w:t>
            </w:r>
            <w:r w:rsidR="00F2333F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F2333F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423EB9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April </w:t>
            </w:r>
            <w:r w:rsidR="00D62BC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18</w:t>
            </w:r>
            <w:r w:rsid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</w:t>
            </w:r>
            <w:r w:rsidR="00F2333F" w:rsidRP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F2333F"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</w:t>
            </w:r>
            <w:r w:rsidR="00D62BC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6</w:t>
            </w:r>
          </w:p>
        </w:tc>
      </w:tr>
      <w:tr w:rsidR="00F2333F" w:rsidRPr="00E3443C" w:rsidTr="00B33027">
        <w:tc>
          <w:tcPr>
            <w:tcW w:w="2219" w:type="dxa"/>
          </w:tcPr>
          <w:p w:rsidR="00F2333F" w:rsidRPr="00E3443C" w:rsidRDefault="00423EB9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Time</w:t>
            </w:r>
          </w:p>
        </w:tc>
        <w:tc>
          <w:tcPr>
            <w:tcW w:w="424" w:type="dxa"/>
          </w:tcPr>
          <w:p w:rsidR="00F2333F" w:rsidRPr="00E3443C" w:rsidRDefault="00F2333F" w:rsidP="002977B8">
            <w:pPr>
              <w:jc w:val="center"/>
              <w:rPr>
                <w:sz w:val="20"/>
                <w:szCs w:val="20"/>
              </w:rPr>
            </w:pPr>
            <w:r w:rsidRPr="00E3443C">
              <w:rPr>
                <w:sz w:val="20"/>
                <w:szCs w:val="20"/>
              </w:rPr>
              <w:t>:</w:t>
            </w:r>
          </w:p>
        </w:tc>
        <w:tc>
          <w:tcPr>
            <w:tcW w:w="6492" w:type="dxa"/>
          </w:tcPr>
          <w:p w:rsidR="00F2333F" w:rsidRPr="00E3443C" w:rsidRDefault="00F2333F" w:rsidP="00423EB9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09</w:t>
            </w:r>
            <w:r w:rsidR="004671BF">
              <w:rPr>
                <w:rFonts w:ascii="Arial" w:eastAsia="Times New Roman" w:hAnsi="Arial" w:cs="Arial"/>
                <w:color w:val="171717"/>
                <w:sz w:val="20"/>
                <w:szCs w:val="20"/>
              </w:rPr>
              <w:t>: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00</w:t>
            </w:r>
            <w:r w:rsidRPr="00E3443C">
              <w:rPr>
                <w:rFonts w:ascii="Arial" w:eastAsia="Times New Roman" w:hAnsi="Arial" w:cs="Arial"/>
                <w:color w:val="020202"/>
                <w:spacing w:val="4"/>
                <w:sz w:val="20"/>
                <w:szCs w:val="20"/>
              </w:rPr>
              <w:t xml:space="preserve"> </w:t>
            </w: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- </w:t>
            </w:r>
            <w:r w:rsidR="00B33027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1</w:t>
            </w:r>
            <w:r w:rsidR="004671BF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2:</w:t>
            </w:r>
            <w:r w:rsidR="00634B5D" w:rsidRPr="00E3443C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 xml:space="preserve">00 </w:t>
            </w:r>
            <w:r w:rsidR="00423EB9">
              <w:rPr>
                <w:rFonts w:ascii="Arial" w:eastAsia="Times New Roman" w:hAnsi="Arial" w:cs="Arial"/>
                <w:color w:val="020202"/>
                <w:spacing w:val="2"/>
                <w:sz w:val="20"/>
                <w:szCs w:val="20"/>
              </w:rPr>
              <w:t>Jakarta Time</w:t>
            </w:r>
          </w:p>
        </w:tc>
      </w:tr>
      <w:tr w:rsidR="00F2333F" w:rsidRPr="004671BF" w:rsidTr="00B33027">
        <w:tc>
          <w:tcPr>
            <w:tcW w:w="2219" w:type="dxa"/>
          </w:tcPr>
          <w:p w:rsidR="00F2333F" w:rsidRPr="00E3443C" w:rsidRDefault="00423EB9" w:rsidP="002977B8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Place</w:t>
            </w:r>
          </w:p>
        </w:tc>
        <w:tc>
          <w:tcPr>
            <w:tcW w:w="424" w:type="dxa"/>
          </w:tcPr>
          <w:p w:rsidR="00F2333F" w:rsidRPr="00E3443C" w:rsidRDefault="00F2333F" w:rsidP="002977B8">
            <w:pPr>
              <w:jc w:val="center"/>
              <w:rPr>
                <w:sz w:val="20"/>
                <w:szCs w:val="20"/>
              </w:rPr>
            </w:pPr>
            <w:r w:rsidRPr="00E3443C">
              <w:rPr>
                <w:sz w:val="20"/>
                <w:szCs w:val="20"/>
              </w:rPr>
              <w:t>:</w:t>
            </w:r>
          </w:p>
        </w:tc>
        <w:tc>
          <w:tcPr>
            <w:tcW w:w="6492" w:type="dxa"/>
          </w:tcPr>
          <w:p w:rsidR="00F2333F" w:rsidRDefault="0007513B" w:rsidP="00D279BC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Adaro Institute</w:t>
            </w:r>
          </w:p>
          <w:p w:rsidR="0007513B" w:rsidRDefault="0007513B" w:rsidP="00D279BC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Tempo Scan Tower, 29</w:t>
            </w:r>
            <w:r w:rsidR="00423EB9" w:rsidRPr="00423EB9">
              <w:rPr>
                <w:rFonts w:ascii="Arial" w:eastAsia="Times New Roman" w:hAnsi="Arial" w:cs="Arial"/>
                <w:color w:val="020202"/>
                <w:sz w:val="20"/>
                <w:szCs w:val="20"/>
                <w:vertAlign w:val="superscript"/>
              </w:rPr>
              <w:t>th</w:t>
            </w:r>
            <w:r w:rsidR="00423EB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Floor</w:t>
            </w:r>
          </w:p>
          <w:p w:rsidR="004671BF" w:rsidRPr="004671BF" w:rsidRDefault="004671BF" w:rsidP="004671BF">
            <w:pPr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4671B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HR. </w:t>
            </w:r>
            <w:proofErr w:type="spellStart"/>
            <w:r w:rsidRPr="004671B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Rasuna</w:t>
            </w:r>
            <w:proofErr w:type="spellEnd"/>
            <w:r w:rsidRPr="004671B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Said </w:t>
            </w:r>
            <w:proofErr w:type="spellStart"/>
            <w:r w:rsidRPr="004671B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Kav</w:t>
            </w:r>
            <w:proofErr w:type="spellEnd"/>
            <w:r w:rsidRPr="004671B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 3-4</w:t>
            </w:r>
          </w:p>
          <w:p w:rsidR="0007513B" w:rsidRPr="004671BF" w:rsidRDefault="004671BF" w:rsidP="004671BF">
            <w:pPr>
              <w:widowControl w:val="0"/>
              <w:autoSpaceDE w:val="0"/>
              <w:autoSpaceDN w:val="0"/>
              <w:adjustRightInd w:val="0"/>
              <w:spacing w:line="245" w:lineRule="exact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4671B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Jakarta 12950</w:t>
            </w:r>
          </w:p>
        </w:tc>
      </w:tr>
    </w:tbl>
    <w:p w:rsidR="00E3443C" w:rsidRPr="00E3443C" w:rsidRDefault="00E3443C" w:rsidP="006E3E46">
      <w:pPr>
        <w:widowControl w:val="0"/>
        <w:autoSpaceDE w:val="0"/>
        <w:autoSpaceDN w:val="0"/>
        <w:adjustRightInd w:val="0"/>
        <w:spacing w:before="1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id-ID"/>
        </w:rPr>
      </w:pPr>
    </w:p>
    <w:p w:rsidR="00E3443C" w:rsidRPr="004671BF" w:rsidRDefault="005554CB" w:rsidP="00467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 relation to the Meeting Agenda</w:t>
      </w:r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I/we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ask the Attorney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to cast votes as follows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D62BCB" w:rsidRPr="00D62BCB" w:rsidRDefault="00D62BCB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5027"/>
        <w:gridCol w:w="1226"/>
        <w:gridCol w:w="1168"/>
        <w:gridCol w:w="1074"/>
      </w:tblGrid>
      <w:tr w:rsidR="004671BF" w:rsidRPr="00E3443C" w:rsidTr="00576327"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5027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C27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shd w:val="clear" w:color="auto" w:fill="auto"/>
          </w:tcPr>
          <w:p w:rsidR="00C232CF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C232CF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074" w:type="dxa"/>
            <w:tcBorders>
              <w:right w:val="single" w:sz="4" w:space="0" w:color="auto"/>
            </w:tcBorders>
            <w:shd w:val="clear" w:color="auto" w:fill="auto"/>
          </w:tcPr>
          <w:p w:rsid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71BF" w:rsidRPr="00562C27" w:rsidRDefault="00562C27" w:rsidP="00562C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:rsidTr="00576327">
        <w:trPr>
          <w:trHeight w:val="800"/>
        </w:trPr>
        <w:tc>
          <w:tcPr>
            <w:tcW w:w="571" w:type="dxa"/>
            <w:tcBorders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left w:val="single" w:sz="4" w:space="0" w:color="auto"/>
              <w:right w:val="single" w:sz="4" w:space="0" w:color="auto"/>
            </w:tcBorders>
          </w:tcPr>
          <w:p w:rsidR="00CD590B" w:rsidRPr="00CD590B" w:rsidRDefault="00CD590B" w:rsidP="00CD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Approval of the 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Company’s 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Annual Report and the ratification of the Company’s Consolidated</w:t>
            </w:r>
          </w:p>
          <w:p w:rsidR="00576327" w:rsidRPr="00576327" w:rsidRDefault="00CD590B" w:rsidP="00E3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Financial Statements for fiscal year 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5.</w:t>
            </w: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8C6A0A">
        <w:trPr>
          <w:trHeight w:val="539"/>
        </w:trPr>
        <w:tc>
          <w:tcPr>
            <w:tcW w:w="571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</w:p>
        </w:tc>
        <w:tc>
          <w:tcPr>
            <w:tcW w:w="5027" w:type="dxa"/>
            <w:tcBorders>
              <w:bottom w:val="single" w:sz="4" w:space="0" w:color="auto"/>
            </w:tcBorders>
          </w:tcPr>
          <w:p w:rsidR="00576327" w:rsidRPr="00576327" w:rsidRDefault="00CD590B" w:rsidP="00E344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Determination of the usage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of the Company’s net profit for fiscal year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576327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2015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:rsidTr="00576327">
        <w:trPr>
          <w:trHeight w:val="530"/>
        </w:trPr>
        <w:tc>
          <w:tcPr>
            <w:tcW w:w="571" w:type="dxa"/>
            <w:tcBorders>
              <w:top w:val="single" w:sz="4" w:space="0" w:color="auto"/>
            </w:tcBorders>
          </w:tcPr>
          <w:p w:rsidR="00D62BCB" w:rsidRPr="00D62BCB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7" w:type="dxa"/>
            <w:tcBorders>
              <w:top w:val="single" w:sz="4" w:space="0" w:color="auto"/>
            </w:tcBorders>
          </w:tcPr>
          <w:p w:rsidR="00576327" w:rsidRPr="00E3443C" w:rsidRDefault="00CD590B" w:rsidP="00C232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Determination of the Company’s Board in relation with </w:t>
            </w:r>
            <w:r w:rsidR="00C232CF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the expiration of BOD’s term of office.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D62BCB" w:rsidRPr="00E3443C" w:rsidRDefault="00D62BCB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576327">
        <w:trPr>
          <w:trHeight w:val="1439"/>
        </w:trPr>
        <w:tc>
          <w:tcPr>
            <w:tcW w:w="571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3</w:t>
            </w:r>
          </w:p>
        </w:tc>
        <w:tc>
          <w:tcPr>
            <w:tcW w:w="5027" w:type="dxa"/>
          </w:tcPr>
          <w:p w:rsidR="00576327" w:rsidRPr="00576327" w:rsidRDefault="00CD590B" w:rsidP="00CD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Delegation of authority to the Company’s Board of Commiss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ioners to appoint the 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Registered Public Accountant Firm to audit the Company’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s Consolidated Financial 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Statements for fiscal year 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6 and to 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determi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ne the honorarium of the Public 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Accountant Firm along with other requirements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:rsidTr="008C6A0A">
        <w:trPr>
          <w:trHeight w:val="962"/>
        </w:trPr>
        <w:tc>
          <w:tcPr>
            <w:tcW w:w="571" w:type="dxa"/>
          </w:tcPr>
          <w:p w:rsid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4</w:t>
            </w:r>
          </w:p>
        </w:tc>
        <w:tc>
          <w:tcPr>
            <w:tcW w:w="5027" w:type="dxa"/>
          </w:tcPr>
          <w:p w:rsidR="00E3443C" w:rsidRPr="00CD590B" w:rsidRDefault="00CD590B" w:rsidP="00CD59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Determination of the honorarium/salary and other allowances for the Company’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s Board of </w:t>
            </w:r>
            <w:r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Commissioners and Board of Directors for fiscal year 201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6</w:t>
            </w:r>
            <w:r w:rsidR="00E3443C" w:rsidRPr="00CD59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.</w:t>
            </w:r>
          </w:p>
        </w:tc>
        <w:tc>
          <w:tcPr>
            <w:tcW w:w="1226" w:type="dxa"/>
          </w:tcPr>
          <w:p w:rsidR="00E3443C" w:rsidRPr="00E3443C" w:rsidRDefault="00E3443C" w:rsidP="00E3443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</w:tcPr>
          <w:p w:rsidR="00E3443C" w:rsidRPr="00E3443C" w:rsidRDefault="00E3443C" w:rsidP="00E344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443C" w:rsidRDefault="00E3443C" w:rsidP="00B33027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C33F6" w:rsidRPr="00E3443C" w:rsidRDefault="00CE65A1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This Power of Attorney shall be effective</w:t>
      </w:r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since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 the date of Power of Attorney below and irrevocably</w:t>
      </w:r>
      <w:r w:rsidR="001304B8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This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 xml:space="preserve">Power of Attorney shall be governed and construed in accordance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with </w:t>
      </w:r>
      <w:r w:rsidRPr="00CE65A1">
        <w:rPr>
          <w:rFonts w:ascii="Arial" w:eastAsia="Times New Roman" w:hAnsi="Arial" w:cs="Arial"/>
          <w:color w:val="000000"/>
          <w:sz w:val="20"/>
          <w:szCs w:val="20"/>
        </w:rPr>
        <w:t>the laws of the Republic of Indonesia</w:t>
      </w:r>
      <w:r w:rsidR="001304B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C33F6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304B8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Pr="001304B8">
        <w:rPr>
          <w:rFonts w:ascii="Arial" w:eastAsia="Times New Roman" w:hAnsi="Arial" w:cs="Arial"/>
          <w:color w:val="000000"/>
          <w:sz w:val="20"/>
          <w:szCs w:val="20"/>
        </w:rPr>
        <w:t xml:space="preserve"> 201</w:t>
      </w:r>
      <w:r>
        <w:rPr>
          <w:rFonts w:ascii="Arial" w:eastAsia="Times New Roman" w:hAnsi="Arial" w:cs="Arial"/>
          <w:color w:val="000000"/>
          <w:sz w:val="20"/>
          <w:szCs w:val="20"/>
        </w:rPr>
        <w:t>6</w:t>
      </w:r>
    </w:p>
    <w:p w:rsidR="001304B8" w:rsidRPr="00E3443C" w:rsidRDefault="001304B8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8C33F6" w:rsidRPr="00E3443C" w:rsidTr="00126B4A">
        <w:tc>
          <w:tcPr>
            <w:tcW w:w="5058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</w:t>
            </w: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304B8" w:rsidRPr="001304B8" w:rsidRDefault="007D3DAF" w:rsidP="00E17D9C">
            <w:pPr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Govt. Stamp</w:t>
            </w:r>
          </w:p>
          <w:p w:rsidR="0092037B" w:rsidRPr="001304B8" w:rsidRDefault="00E17D9C" w:rsidP="00E17D9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</w:t>
            </w:r>
            <w:r w:rsidR="007D3D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</w:t>
            </w:r>
            <w:r w:rsidR="001304B8" w:rsidRPr="001304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6.000</w:t>
            </w: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1304B8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</w:t>
            </w:r>
          </w:p>
          <w:p w:rsidR="008C33F6" w:rsidRPr="001304B8" w:rsidRDefault="008C33F6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</w:tcPr>
          <w:p w:rsidR="008C33F6" w:rsidRPr="00E3443C" w:rsidRDefault="007D3DAF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</w:t>
            </w:r>
            <w:r w:rsidR="005213A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Attorney</w:t>
            </w:r>
            <w:bookmarkStart w:id="0" w:name="_GoBack"/>
            <w:bookmarkEnd w:id="0"/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E17D9C" w:rsidRPr="00E3443C" w:rsidRDefault="00E17D9C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92037B" w:rsidRPr="00E3443C" w:rsidRDefault="0092037B" w:rsidP="008C33F6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:rsidR="00D13220" w:rsidRPr="001304B8" w:rsidRDefault="00D13220" w:rsidP="0092037B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8C33F6" w:rsidRPr="00E3443C" w:rsidRDefault="008C33F6" w:rsidP="008C33F6">
      <w:pPr>
        <w:widowControl w:val="0"/>
        <w:autoSpaceDE w:val="0"/>
        <w:autoSpaceDN w:val="0"/>
        <w:adjustRightInd w:val="0"/>
        <w:spacing w:before="9" w:after="0" w:line="240" w:lineRule="auto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B5486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7513B"/>
    <w:rsid w:val="00087924"/>
    <w:rsid w:val="00126B4A"/>
    <w:rsid w:val="001304B8"/>
    <w:rsid w:val="001548BC"/>
    <w:rsid w:val="002267B9"/>
    <w:rsid w:val="0042319C"/>
    <w:rsid w:val="00423EB9"/>
    <w:rsid w:val="004671BF"/>
    <w:rsid w:val="004C39A7"/>
    <w:rsid w:val="005213A1"/>
    <w:rsid w:val="005554CB"/>
    <w:rsid w:val="00562C27"/>
    <w:rsid w:val="00576327"/>
    <w:rsid w:val="005C6C8A"/>
    <w:rsid w:val="005D7BB5"/>
    <w:rsid w:val="00600DB0"/>
    <w:rsid w:val="00634B5D"/>
    <w:rsid w:val="0067003A"/>
    <w:rsid w:val="006E3E46"/>
    <w:rsid w:val="006F5839"/>
    <w:rsid w:val="007267F4"/>
    <w:rsid w:val="007D3DAF"/>
    <w:rsid w:val="008B179D"/>
    <w:rsid w:val="008C33F6"/>
    <w:rsid w:val="008C6A0A"/>
    <w:rsid w:val="008F5032"/>
    <w:rsid w:val="0092037B"/>
    <w:rsid w:val="0096039A"/>
    <w:rsid w:val="00960587"/>
    <w:rsid w:val="00A603B3"/>
    <w:rsid w:val="00A662A6"/>
    <w:rsid w:val="00B33027"/>
    <w:rsid w:val="00B54865"/>
    <w:rsid w:val="00B652D2"/>
    <w:rsid w:val="00C232CF"/>
    <w:rsid w:val="00C57980"/>
    <w:rsid w:val="00C76396"/>
    <w:rsid w:val="00CD590B"/>
    <w:rsid w:val="00CE65A1"/>
    <w:rsid w:val="00D13220"/>
    <w:rsid w:val="00D279BC"/>
    <w:rsid w:val="00D62BCB"/>
    <w:rsid w:val="00DA68A3"/>
    <w:rsid w:val="00E17D9C"/>
    <w:rsid w:val="00E3443C"/>
    <w:rsid w:val="00F07540"/>
    <w:rsid w:val="00F2333F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Aditya Pamadya Sudjono - JKT</cp:lastModifiedBy>
  <cp:revision>11</cp:revision>
  <dcterms:created xsi:type="dcterms:W3CDTF">2016-03-11T04:17:00Z</dcterms:created>
  <dcterms:modified xsi:type="dcterms:W3CDTF">2016-03-23T10:07:00Z</dcterms:modified>
</cp:coreProperties>
</file>